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360" w:right="0" w:hanging="0"/>
        <w:jc w:val="center"/>
        <w:rPr>
          <w:rFonts w:ascii="Comic Sans MS" w:hAnsi="Comic Sans MS" w:cs="Comic Sans MS"/>
          <w:i/>
          <w:i/>
          <w:sz w:val="36"/>
          <w:szCs w:val="36"/>
          <w:lang w:val="bg-BG"/>
        </w:rPr>
      </w:pPr>
      <w:r>
        <w:rPr>
          <w:rFonts w:cs="Comic Sans MS" w:ascii="Comic Sans MS" w:hAnsi="Comic Sans MS"/>
          <w:i/>
          <w:sz w:val="36"/>
          <w:szCs w:val="36"/>
          <w:lang w:val="bg-BG"/>
        </w:rPr>
        <w:t>Великотърновски Университет</w:t>
      </w:r>
    </w:p>
    <w:p>
      <w:pPr>
        <w:pStyle w:val="Normal"/>
        <w:ind w:left="360" w:right="0" w:hanging="0"/>
        <w:jc w:val="center"/>
        <w:rPr/>
      </w:pPr>
      <w:r>
        <w:rPr>
          <w:rFonts w:cs="Comic Sans MS" w:ascii="Comic Sans MS" w:hAnsi="Comic Sans MS"/>
          <w:i/>
          <w:sz w:val="36"/>
          <w:szCs w:val="36"/>
          <w:lang w:val="bg-BG"/>
        </w:rPr>
        <w:t>“</w:t>
      </w:r>
      <w:r>
        <w:rPr>
          <w:rFonts w:cs="Comic Sans MS" w:ascii="Comic Sans MS" w:hAnsi="Comic Sans MS"/>
          <w:i/>
          <w:sz w:val="36"/>
          <w:szCs w:val="36"/>
          <w:lang w:val="bg-BG"/>
        </w:rPr>
        <w:t>Св. Св. Кирил и Методий”</w:t>
      </w:r>
    </w:p>
    <w:p>
      <w:pPr>
        <w:pStyle w:val="Normal"/>
        <w:ind w:left="360" w:right="0" w:hanging="0"/>
        <w:jc w:val="center"/>
        <w:rPr>
          <w:rFonts w:ascii="Comic Sans MS" w:hAnsi="Comic Sans MS" w:cs="Comic Sans MS"/>
          <w:i/>
          <w:i/>
          <w:sz w:val="36"/>
          <w:szCs w:val="36"/>
          <w:lang w:val="bg-BG"/>
        </w:rPr>
      </w:pPr>
      <w:r>
        <w:rPr>
          <w:rFonts w:cs="Comic Sans MS" w:ascii="Comic Sans MS" w:hAnsi="Comic Sans MS"/>
          <w:i/>
          <w:sz w:val="36"/>
          <w:szCs w:val="36"/>
          <w:lang w:val="bg-BG"/>
        </w:rPr>
        <w:t>Философки Факултет</w:t>
      </w:r>
    </w:p>
    <w:p>
      <w:pPr>
        <w:pStyle w:val="Normal"/>
        <w:ind w:left="360" w:right="0" w:hanging="0"/>
        <w:jc w:val="center"/>
        <w:rPr>
          <w:rFonts w:ascii="Comic Sans MS" w:hAnsi="Comic Sans MS" w:cs="Comic Sans MS"/>
          <w:i/>
          <w:i/>
          <w:sz w:val="36"/>
          <w:szCs w:val="36"/>
          <w:lang w:val="bg-BG"/>
        </w:rPr>
      </w:pPr>
      <w:r>
        <w:rPr>
          <w:rFonts w:cs="Comic Sans MS" w:ascii="Comic Sans MS" w:hAnsi="Comic Sans MS"/>
          <w:i/>
          <w:sz w:val="36"/>
          <w:szCs w:val="36"/>
          <w:lang w:val="bg-BG"/>
        </w:rPr>
      </w:r>
    </w:p>
    <w:p>
      <w:pPr>
        <w:pStyle w:val="Normal"/>
        <w:ind w:left="360" w:right="0" w:hanging="0"/>
        <w:jc w:val="center"/>
        <w:rPr>
          <w:rFonts w:ascii="Comic Sans MS" w:hAnsi="Comic Sans MS" w:cs="Comic Sans MS"/>
          <w:i/>
          <w:i/>
          <w:sz w:val="36"/>
          <w:szCs w:val="36"/>
          <w:lang w:val="bg-BG"/>
        </w:rPr>
      </w:pPr>
      <w:r>
        <w:rPr>
          <w:rFonts w:cs="Comic Sans MS" w:ascii="Comic Sans MS" w:hAnsi="Comic Sans MS"/>
          <w:i/>
          <w:sz w:val="36"/>
          <w:szCs w:val="36"/>
          <w:lang w:val="bg-BG"/>
        </w:rPr>
      </w:r>
    </w:p>
    <w:p>
      <w:pPr>
        <w:pStyle w:val="Normal"/>
        <w:ind w:left="360" w:right="0" w:hanging="0"/>
        <w:jc w:val="center"/>
        <w:rPr>
          <w:rFonts w:ascii="Comic Sans MS" w:hAnsi="Comic Sans MS" w:cs="Comic Sans MS"/>
          <w:sz w:val="44"/>
          <w:szCs w:val="44"/>
          <w:lang w:val="bg-BG"/>
        </w:rPr>
      </w:pPr>
      <w:r>
        <w:rPr>
          <w:rFonts w:cs="Comic Sans MS" w:ascii="Comic Sans MS" w:hAnsi="Comic Sans MS"/>
          <w:sz w:val="44"/>
          <w:szCs w:val="44"/>
          <w:lang w:val="bg-BG"/>
        </w:rPr>
        <w:t>Проект за социално-психологическо изследване</w:t>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t>По дисциплината</w:t>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t>Социална Психология</w:t>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t>На тема:</w:t>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t>Изследване на мотивацията за учене при деца от Домове за деца лишени от родителски грижи /ДДЛРГ/</w:t>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r>
      <w:r>
        <w:br w:type="page"/>
      </w:r>
    </w:p>
    <w:p>
      <w:pPr>
        <w:pStyle w:val="Normal"/>
        <w:ind w:left="360" w:right="0" w:hanging="0"/>
        <w:jc w:val="center"/>
        <w:rPr>
          <w:rFonts w:ascii="Comic Sans MS" w:hAnsi="Comic Sans MS" w:cs="Comic Sans MS"/>
          <w:sz w:val="36"/>
          <w:szCs w:val="36"/>
          <w:lang w:val="bg-BG"/>
        </w:rPr>
      </w:pPr>
      <w:r>
        <w:rPr>
          <w:rFonts w:cs="Comic Sans MS" w:ascii="Comic Sans MS" w:hAnsi="Comic Sans MS"/>
          <w:sz w:val="36"/>
          <w:szCs w:val="36"/>
          <w:lang w:val="bg-BG"/>
        </w:rPr>
        <w:t>1. Модел на изследваното явление – мотивация за учене при деца от ДДЛРГ</w:t>
      </w:r>
    </w:p>
    <w:p>
      <w:pPr>
        <w:pStyle w:val="Normal"/>
        <w:rPr>
          <w:rFonts w:ascii="Comic Sans MS" w:hAnsi="Comic Sans MS" w:cs="Comic Sans MS"/>
          <w:sz w:val="36"/>
          <w:szCs w:val="36"/>
          <w:lang w:val="bg-BG"/>
        </w:rPr>
      </w:pPr>
      <w:r>
        <w:rPr>
          <w:rFonts w:cs="Comic Sans MS" w:ascii="Comic Sans MS" w:hAnsi="Comic Sans MS"/>
          <w:sz w:val="36"/>
          <w:szCs w:val="36"/>
          <w:lang w:val="bg-BG"/>
        </w:rPr>
      </w:r>
    </w:p>
    <w:p>
      <w:pPr>
        <w:pStyle w:val="2"/>
        <w:jc w:val="both"/>
        <w:rPr/>
      </w:pPr>
      <w:r>
        <w:rPr>
          <w:rFonts w:eastAsia="Comic Sans MS" w:cs="Comic Sans MS" w:ascii="Comic Sans MS" w:hAnsi="Comic Sans MS"/>
          <w:sz w:val="30"/>
          <w:szCs w:val="30"/>
        </w:rPr>
        <w:t xml:space="preserve">           </w:t>
      </w:r>
      <w:r>
        <w:rPr>
          <w:rFonts w:cs="Comic Sans MS" w:ascii="Comic Sans MS" w:hAnsi="Comic Sans MS"/>
          <w:sz w:val="30"/>
          <w:szCs w:val="30"/>
        </w:rPr>
        <w:t>След множество изследвания се оказва и доказва, че мотивацията за учене не се влияе от фактора – възраст. Твърдението,че възрастните са по-мотивирани за учене се приема като неточно. Мотивацията във всички възрасти се определя от еднакви фактори – изучаваната специалност, курсът на обучение и др.</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Мотивацията включва целева насоченост на поведението и потребност, защото тя е условие на индивида, а не на околната среда. Съществен аспект на мотивацията е получаването на пряка и интензивна връзка между целенасочените действия и крайните резултати. Освен това, постигнатите резултати имат субективно значение  и психологическа ценност за човека, защото в противен случай те губят силата си на активни мотиватори. Следователно, мотивацията е функция от очакваните резултати и от психологическата ценност, която им се преписва .</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 xml:space="preserve">При задълбочен анализ на мотивационния процес могат да се обособят три главни функции: функция на обособяване на поведението (защо протича определено поведение);функция на активация (това е енергитичният аспект  на  мотивацията и обхваща активното действие на възходящата реформация в централната нервна система и функция на целево насочване на поведението. </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Мотивацията за учене се отнася до вътрешните състояния, които осигуряват мотивационна енергия по посока на реализирането на конкретното поведение и постигането на предварителни поставени цели в процеса на обучение. Мотивацията за учене се дефинира в термините на цели, които насочват или подтикват учащите се към постигането им чрез идентифицирането на мотивационната сила на предхождашите събития или чрез детерминирането на мотивационното значение на фактическите или когнитивно представените резултати. Изключително важен аспект на мотивацията за учене е получаването на пряка и адекватна обратна връзка в процеса на обучение между целенасочените действия, качеството и особеностите на получаваните резултати. По този начин се постигат резултати, които имат психологическа значимост и действат като активни мотиватори по посока на извършването на учебната дейност с още по-голямо упорство и настойчивост. Правилното и целесъобразно организиране на процеса на учене благоприятства за изграждането на положителна мотивация за учене, за развитието на познавателни интереси и ,които веднъж формирани се превръщат в действени вътрешни фактори за подобряване на качеството и ефективността на учебната дейност .</w:t>
      </w:r>
    </w:p>
    <w:p>
      <w:pPr>
        <w:pStyle w:val="TextBody"/>
        <w:rPr/>
      </w:pPr>
      <w:r>
        <w:rPr>
          <w:rFonts w:eastAsia="Comic Sans MS" w:cs="Comic Sans MS" w:ascii="Comic Sans MS" w:hAnsi="Comic Sans MS"/>
          <w:sz w:val="30"/>
          <w:szCs w:val="30"/>
          <w:lang w:val="en-US"/>
        </w:rPr>
        <w:t xml:space="preserve"> </w:t>
      </w:r>
      <w:r>
        <w:rPr>
          <w:rFonts w:eastAsia="Comic Sans MS" w:cs="Comic Sans MS" w:ascii="Comic Sans MS" w:hAnsi="Comic Sans MS"/>
          <w:sz w:val="30"/>
          <w:szCs w:val="30"/>
        </w:rPr>
        <w:t xml:space="preserve">          </w:t>
      </w:r>
      <w:r>
        <w:rPr>
          <w:rFonts w:cs="Comic Sans MS" w:ascii="Comic Sans MS" w:hAnsi="Comic Sans MS"/>
          <w:sz w:val="30"/>
          <w:szCs w:val="30"/>
        </w:rPr>
        <w:t>Следователно мотивацията за учене</w:t>
      </w:r>
      <w:r>
        <w:rPr>
          <w:rFonts w:cs="Comic Sans MS" w:ascii="Comic Sans MS" w:hAnsi="Comic Sans MS"/>
          <w:sz w:val="30"/>
          <w:szCs w:val="30"/>
          <w:lang w:val="en-US"/>
        </w:rPr>
        <w:t xml:space="preserve"> </w:t>
      </w:r>
      <w:r>
        <w:rPr>
          <w:rFonts w:cs="Comic Sans MS" w:ascii="Comic Sans MS" w:hAnsi="Comic Sans MS"/>
          <w:sz w:val="30"/>
          <w:szCs w:val="30"/>
        </w:rPr>
        <w:t>може да се разглежда едновременно и като генерална черта на личността, и като състояние, обусловено от ситуацията. Тя включва различни мотиви за учене. Те са преди всичко осъзнати вътрешни подбуди, по силата на които се полагат усилия за усвояване на знания ,за формиране на умения за качествено изпълнение на учебната дейност. Те отразяват общото положително емоционално отношение към преоцеса на учене и обуславят стремежа към проникване в същността на изучаваните явления на фона на своевременното преодоляване на трудностите и напрежението чрез стремежа за непрекъснато личностно самоусъвършенстване</w:t>
      </w:r>
      <w:r>
        <w:rPr>
          <w:rFonts w:cs="Comic Sans MS" w:ascii="Comic Sans MS" w:hAnsi="Comic Sans MS"/>
        </w:rPr>
        <w:t xml:space="preserve"> .</w:t>
      </w:r>
    </w:p>
    <w:p>
      <w:pPr>
        <w:pStyle w:val="TextBody"/>
        <w:rPr>
          <w:rFonts w:ascii="Comic Sans MS" w:hAnsi="Comic Sans MS" w:cs="Comic Sans MS"/>
        </w:rPr>
      </w:pPr>
      <w:r>
        <w:rPr>
          <w:rFonts w:cs="Comic Sans MS" w:ascii="Comic Sans MS" w:hAnsi="Comic Sans MS"/>
        </w:rPr>
      </w:r>
    </w:p>
    <w:p>
      <w:pPr>
        <w:pStyle w:val="TextBody"/>
        <w:jc w:val="center"/>
        <w:rPr>
          <w:rFonts w:ascii="Comic Sans MS" w:hAnsi="Comic Sans MS" w:cs="Comic Sans MS"/>
          <w:szCs w:val="36"/>
        </w:rPr>
      </w:pPr>
      <w:r>
        <w:rPr>
          <w:rFonts w:cs="Comic Sans MS" w:ascii="Comic Sans MS" w:hAnsi="Comic Sans MS"/>
          <w:szCs w:val="36"/>
        </w:rPr>
        <w:t>2. Основни идеи</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В структурата на мотивацията за учене се включват самостоятелни операционални стъпки, а именно: планиране на действията, концентриране на усилията за постигане на целите. Повишаването на равнището на мотивацията за учене влияе позитивно върху личната удовлетвореност от постиженията, обуславя ниското равнище на тревожност, както и обуславя постоянните условия за своевременно</w:t>
      </w:r>
      <w:r>
        <w:rPr>
          <w:rFonts w:cs="Comic Sans MS" w:ascii="Comic Sans MS" w:hAnsi="Comic Sans MS"/>
          <w:sz w:val="30"/>
          <w:szCs w:val="30"/>
          <w:lang w:val="en-US"/>
        </w:rPr>
        <w:t xml:space="preserve"> </w:t>
      </w:r>
      <w:r>
        <w:rPr>
          <w:rFonts w:cs="Comic Sans MS" w:ascii="Comic Sans MS" w:hAnsi="Comic Sans MS"/>
          <w:sz w:val="30"/>
          <w:szCs w:val="30"/>
        </w:rPr>
        <w:t>преодоляване на страха от провал в процеса на обучението. Мотивацията за учене стимулира качеството и интензивността на на когнитивната дейност по посока на постигането на  предварително формулираните цели, усвояване на нови знания и умения, използването на адекватни стратегии за за постигане на високи академични резултати в процеса на обучение.</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Общоприето е мнението, че в стуктурата на мотивацията за учене освен митивите за учене , опеделящо значение имат и целите в процеса на обучение. В процеса на целеполагане индивидите демонстрират целенасочено поведение и имат съзнанието за реалните и идеалните условия на ситуацията. Целите мотивират хората да действат ,за да намалят разликата между това “къде съм?” и “къде искам да бъда?”.Поставянето на цели е изключително ефективно в личен план и подобрява изпълнението на всякакъв вид дейност. Ползата от поставянето на цели и техното изпълнение се изразява в насочване на индивидуалните усилия към решаване на задачите, стимулира използването на различни стратегии за справяне с учебните задачи и съдейства за повишаване на качеството и ефективността на процеса на учене .</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 xml:space="preserve">В академичната сфера се обособяват две големи групи цели </w:t>
      </w:r>
    </w:p>
    <w:p>
      <w:pPr>
        <w:pStyle w:val="TextBody"/>
        <w:rPr/>
      </w:pPr>
      <w:r>
        <w:rPr>
          <w:rFonts w:cs="Comic Sans MS" w:ascii="Comic Sans MS" w:hAnsi="Comic Sans MS"/>
          <w:sz w:val="30"/>
          <w:szCs w:val="30"/>
        </w:rPr>
        <w:t>–</w:t>
      </w:r>
      <w:r>
        <w:rPr>
          <w:rFonts w:cs="Comic Sans MS" w:ascii="Comic Sans MS" w:hAnsi="Comic Sans MS"/>
          <w:sz w:val="30"/>
          <w:szCs w:val="30"/>
        </w:rPr>
        <w:t>цели,ориентирани към процеса на учене и</w:t>
      </w:r>
    </w:p>
    <w:p>
      <w:pPr>
        <w:pStyle w:val="TextBody"/>
        <w:rPr>
          <w:rFonts w:ascii="Comic Sans MS" w:hAnsi="Comic Sans MS" w:cs="Comic Sans MS"/>
          <w:sz w:val="30"/>
          <w:szCs w:val="30"/>
        </w:rPr>
      </w:pPr>
      <w:r>
        <w:rPr>
          <w:rFonts w:cs="Comic Sans MS" w:ascii="Comic Sans MS" w:hAnsi="Comic Sans MS"/>
          <w:sz w:val="30"/>
          <w:szCs w:val="30"/>
        </w:rPr>
        <w:t>-цели, насочени към изпълнението на учебната дейност.</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Когато индивидите си поставят цели, към самия процес на учене те се стремят към подобряване на своята дейност ,без да отчитат броя на допуснатите грешки и без това да ги смущава и затруднява.Те търсят предизвикателствата в учебния процес и изпробват различни начини за справяне с възникналите трудности. Индивидуалното поведение се детерминира от степента на лична включеност в решаването на задачата и от липсата на тревожност за крайната оценка на изпълнението. Съществуват и цели, които са свързани непосредствено с качеството на изпълнение на учебната дейност. С формулирането на подобни цели всеки индивид може да оцени равнището на своята компетентност и да избягва негативните оценки от страна на другите.</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При тази непосредствена насоченост при изпълнението на учебните задачи хората са особено чувствителни към оценката на другите, защото искат да бъдат възприемани като интелигентни и избягват да бъдат некомпетентни. За тази цел използват защитни, избягващи неуспеха стратегии, или дори отказват взаимодействия и съвместна дейност в процеса на обучение. Его-включените индивиди си поставят цели, ориентирани към изпълнението на конкретна дейност в процеса на обучение. Те са насочени едновременно към упражняване на контрол над самите себе си и към оценката на другите. Тези индивиди набързо приключват с поставените задачи, като решават само онези от тях, които им осигуряват бързи успехи и прикриват слабите им учебни резултати.</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Върху целеполагането влияе и степента ,до която формулираните цели са индивидуално определени, като се засяга и въпроса за тяхната психологическа ценност в личен план. Ако в хода на обучението предложените цели се приемат от учащите се, то в подобна ситуация се регистрира повишаване на равнището на мотивацията за учене. И обратно, ако целите са неприемливи и отхвърлени, то това може да понижи равнището на мотивацията за качествена и ефективна учебна дейност.Образователната техника показва, че в процеса на учене лесно се приемат цели, поставени от другите в случай, че те се тълккуват като разумни, реалистични, значими и реално постижими в рамките на определен период от време.</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В други съвременни изследвания върху мотивацията и постиженията в училище са диференцирани две контрастиращи групи цели за постижения-цели, насочени към решаване на учебните задачи и цели, насочени към развитието на индивидуалните способности. Накратко, учащите, които са насочени към развитието на собствения си интелектуален потенциал, са заети с постигането на успех, както и с това дали другите ги оценяват като достатъчно способни или не. Обратно, когато учащите са насочени към самите задачи, целта е да се постигне задълбочено разбиране на учебния материал, да се формират адекватни умения и да се свърши успешно започнатата работа, която се възприема като особено предизвикателна. Ученето се възприема от тези учащи се като особено ценен момент в индивидуалното развитие, а постигането на майсторство в изпълнението е пряко обусловено от положените усилия и усърдна работа.</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jc w:val="center"/>
        <w:rPr>
          <w:rFonts w:ascii="Comic Sans MS" w:hAnsi="Comic Sans MS" w:cs="Comic Sans MS"/>
          <w:szCs w:val="36"/>
        </w:rPr>
      </w:pPr>
      <w:r>
        <w:rPr>
          <w:rFonts w:cs="Comic Sans MS" w:ascii="Comic Sans MS" w:hAnsi="Comic Sans MS"/>
          <w:szCs w:val="36"/>
        </w:rPr>
        <w:t>3. Нерешени въпроси</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 Децата от ДДЛРГ много рядко продължават обучението си във ВУЗ , след завършване на средното си образование най-често стават съпруги и майки, а някои дори не успяват да завършат и средно образование и остават с основно.</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jc w:val="center"/>
        <w:rPr>
          <w:rFonts w:ascii="Comic Sans MS" w:hAnsi="Comic Sans MS" w:cs="Comic Sans MS"/>
          <w:szCs w:val="36"/>
        </w:rPr>
      </w:pPr>
      <w:r>
        <w:rPr>
          <w:rFonts w:cs="Comic Sans MS" w:ascii="Comic Sans MS" w:hAnsi="Comic Sans MS"/>
          <w:szCs w:val="36"/>
        </w:rPr>
        <w:t>4. Цел, Хипотеза, Задачи</w:t>
      </w:r>
    </w:p>
    <w:p>
      <w:pPr>
        <w:pStyle w:val="TextBody"/>
        <w:rPr>
          <w:rFonts w:ascii="Comic Sans MS" w:hAnsi="Comic Sans MS" w:cs="Comic Sans MS"/>
          <w:szCs w:val="36"/>
        </w:rPr>
      </w:pPr>
      <w:r>
        <w:rPr>
          <w:rFonts w:cs="Comic Sans MS" w:ascii="Comic Sans MS" w:hAnsi="Comic Sans MS"/>
          <w:szCs w:val="36"/>
        </w:rPr>
        <w:t>Хипотеза:</w:t>
      </w:r>
    </w:p>
    <w:p>
      <w:pPr>
        <w:pStyle w:val="TextBody"/>
        <w:rPr>
          <w:rFonts w:ascii="Comic Sans MS" w:hAnsi="Comic Sans MS" w:cs="Comic Sans MS"/>
          <w:sz w:val="30"/>
          <w:szCs w:val="30"/>
        </w:rPr>
      </w:pPr>
      <w:r>
        <w:rPr>
          <w:rFonts w:cs="Comic Sans MS" w:ascii="Comic Sans MS" w:hAnsi="Comic Sans MS"/>
          <w:sz w:val="30"/>
          <w:szCs w:val="30"/>
        </w:rPr>
        <w:t>Децата сираци и изоставените деца имат по-ниска мотивация за учене от децата, отгледани в нормална семейна среда. Това се дължи на високите нива на тревожност, предизвикани от събитията в техния живот.</w:t>
      </w:r>
    </w:p>
    <w:p>
      <w:pPr>
        <w:pStyle w:val="TextBody"/>
        <w:rPr>
          <w:rFonts w:ascii="Comic Sans MS" w:hAnsi="Comic Sans MS" w:cs="Comic Sans MS"/>
          <w:szCs w:val="36"/>
        </w:rPr>
      </w:pPr>
      <w:r>
        <w:rPr>
          <w:rFonts w:cs="Comic Sans MS" w:ascii="Comic Sans MS" w:hAnsi="Comic Sans MS"/>
          <w:szCs w:val="36"/>
        </w:rPr>
        <w:t xml:space="preserve">Дългосрочна цел: </w:t>
      </w:r>
    </w:p>
    <w:p>
      <w:pPr>
        <w:pStyle w:val="TextBody"/>
        <w:rPr>
          <w:rFonts w:ascii="Comic Sans MS" w:hAnsi="Comic Sans MS" w:cs="Comic Sans MS"/>
          <w:sz w:val="30"/>
          <w:szCs w:val="30"/>
        </w:rPr>
      </w:pPr>
      <w:r>
        <w:rPr>
          <w:rFonts w:cs="Comic Sans MS" w:ascii="Comic Sans MS" w:hAnsi="Comic Sans MS"/>
          <w:sz w:val="30"/>
          <w:szCs w:val="30"/>
        </w:rPr>
        <w:t>Децата, отгледани в ДДЛРГ да излизат добре обучени от образователната система, квалифицирани и с добри умения, за да могат да се справят сами в трудните условия на социалния живот.</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rPr>
          <w:rFonts w:ascii="Comic Sans MS" w:hAnsi="Comic Sans MS" w:cs="Comic Sans MS"/>
          <w:szCs w:val="36"/>
        </w:rPr>
      </w:pPr>
      <w:r>
        <w:rPr>
          <w:rFonts w:cs="Comic Sans MS" w:ascii="Comic Sans MS" w:hAnsi="Comic Sans MS"/>
          <w:szCs w:val="36"/>
        </w:rPr>
        <w:t xml:space="preserve">Краткосрочна цел:  </w:t>
      </w:r>
    </w:p>
    <w:p>
      <w:pPr>
        <w:pStyle w:val="TextBody"/>
        <w:rPr>
          <w:rFonts w:ascii="Comic Sans MS" w:hAnsi="Comic Sans MS" w:cs="Comic Sans MS"/>
          <w:sz w:val="30"/>
          <w:szCs w:val="30"/>
        </w:rPr>
      </w:pPr>
      <w:r>
        <w:rPr>
          <w:rFonts w:cs="Comic Sans MS" w:ascii="Comic Sans MS" w:hAnsi="Comic Sans MS"/>
          <w:sz w:val="30"/>
          <w:szCs w:val="30"/>
        </w:rPr>
        <w:t>Децата отгледани в ДДЛРГ да осъзнаят нуждата от образование.</w:t>
      </w:r>
    </w:p>
    <w:p>
      <w:pPr>
        <w:pStyle w:val="TextBody"/>
        <w:rPr>
          <w:rFonts w:ascii="Comic Sans MS" w:hAnsi="Comic Sans MS" w:cs="Comic Sans MS"/>
          <w:sz w:val="32"/>
          <w:szCs w:val="32"/>
        </w:rPr>
      </w:pPr>
      <w:r>
        <w:rPr>
          <w:rFonts w:cs="Comic Sans MS" w:ascii="Comic Sans MS" w:hAnsi="Comic Sans MS"/>
          <w:sz w:val="32"/>
          <w:szCs w:val="32"/>
        </w:rPr>
      </w:r>
    </w:p>
    <w:p>
      <w:pPr>
        <w:pStyle w:val="TextBody"/>
        <w:rPr>
          <w:rFonts w:ascii="Comic Sans MS" w:hAnsi="Comic Sans MS" w:cs="Comic Sans MS"/>
          <w:szCs w:val="36"/>
        </w:rPr>
      </w:pPr>
      <w:r>
        <w:rPr>
          <w:rFonts w:cs="Comic Sans MS" w:ascii="Comic Sans MS" w:hAnsi="Comic Sans MS"/>
          <w:szCs w:val="36"/>
        </w:rPr>
        <w:t>Задачи:</w:t>
      </w:r>
    </w:p>
    <w:p>
      <w:pPr>
        <w:pStyle w:val="TextBody"/>
        <w:numPr>
          <w:ilvl w:val="0"/>
          <w:numId w:val="1"/>
        </w:numPr>
        <w:rPr>
          <w:rFonts w:ascii="Comic Sans MS" w:hAnsi="Comic Sans MS" w:cs="Comic Sans MS"/>
          <w:sz w:val="30"/>
          <w:szCs w:val="30"/>
        </w:rPr>
      </w:pPr>
      <w:r>
        <w:rPr>
          <w:rFonts w:cs="Comic Sans MS" w:ascii="Comic Sans MS" w:hAnsi="Comic Sans MS"/>
          <w:sz w:val="30"/>
          <w:szCs w:val="30"/>
        </w:rPr>
        <w:t>чрез анкети, беседи и наблюдения да се проучи мотивацията на всички децата в училище.</w:t>
      </w:r>
    </w:p>
    <w:p>
      <w:pPr>
        <w:pStyle w:val="TextBody"/>
        <w:numPr>
          <w:ilvl w:val="0"/>
          <w:numId w:val="1"/>
        </w:numPr>
        <w:rPr>
          <w:rFonts w:ascii="Comic Sans MS" w:hAnsi="Comic Sans MS" w:cs="Comic Sans MS"/>
          <w:sz w:val="30"/>
          <w:szCs w:val="30"/>
        </w:rPr>
      </w:pPr>
      <w:r>
        <w:rPr>
          <w:rFonts w:cs="Comic Sans MS" w:ascii="Comic Sans MS" w:hAnsi="Comic Sans MS"/>
          <w:sz w:val="30"/>
          <w:szCs w:val="30"/>
        </w:rPr>
        <w:t>Да се установят причините за трудностите при изучаване на учебния материал.</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jc w:val="center"/>
        <w:rPr>
          <w:rFonts w:ascii="Comic Sans MS" w:hAnsi="Comic Sans MS" w:cs="Comic Sans MS"/>
          <w:szCs w:val="36"/>
        </w:rPr>
      </w:pPr>
      <w:r>
        <w:rPr>
          <w:rFonts w:cs="Comic Sans MS" w:ascii="Comic Sans MS" w:hAnsi="Comic Sans MS"/>
          <w:szCs w:val="36"/>
        </w:rPr>
        <w:t>5. Методи на изследване</w:t>
      </w:r>
    </w:p>
    <w:p>
      <w:pPr>
        <w:pStyle w:val="TextBody"/>
        <w:rPr>
          <w:rFonts w:ascii="Comic Sans MS" w:hAnsi="Comic Sans MS" w:cs="Comic Sans MS"/>
          <w:sz w:val="30"/>
          <w:szCs w:val="30"/>
        </w:rPr>
      </w:pPr>
      <w:r>
        <w:rPr>
          <w:rFonts w:cs="Comic Sans MS" w:ascii="Comic Sans MS" w:hAnsi="Comic Sans MS"/>
          <w:sz w:val="30"/>
          <w:szCs w:val="30"/>
        </w:rPr>
        <w:t>- анкети</w:t>
      </w:r>
    </w:p>
    <w:p>
      <w:pPr>
        <w:pStyle w:val="TextBody"/>
        <w:rPr>
          <w:rFonts w:ascii="Comic Sans MS" w:hAnsi="Comic Sans MS" w:cs="Comic Sans MS"/>
          <w:sz w:val="30"/>
          <w:szCs w:val="30"/>
        </w:rPr>
      </w:pPr>
      <w:r>
        <w:rPr>
          <w:rFonts w:cs="Comic Sans MS" w:ascii="Comic Sans MS" w:hAnsi="Comic Sans MS"/>
          <w:sz w:val="30"/>
          <w:szCs w:val="30"/>
        </w:rPr>
        <w:t>- тестове</w:t>
      </w:r>
    </w:p>
    <w:p>
      <w:pPr>
        <w:pStyle w:val="TextBody"/>
        <w:rPr>
          <w:rFonts w:ascii="Comic Sans MS" w:hAnsi="Comic Sans MS" w:cs="Comic Sans MS"/>
          <w:sz w:val="30"/>
          <w:szCs w:val="30"/>
        </w:rPr>
      </w:pPr>
      <w:r>
        <w:rPr>
          <w:rFonts w:cs="Comic Sans MS" w:ascii="Comic Sans MS" w:hAnsi="Comic Sans MS"/>
          <w:sz w:val="30"/>
          <w:szCs w:val="30"/>
        </w:rPr>
        <w:t>- наблюдения</w:t>
      </w:r>
    </w:p>
    <w:p>
      <w:pPr>
        <w:pStyle w:val="TextBody"/>
        <w:rPr>
          <w:rFonts w:ascii="Comic Sans MS" w:hAnsi="Comic Sans MS" w:cs="Comic Sans MS"/>
          <w:sz w:val="30"/>
          <w:szCs w:val="30"/>
        </w:rPr>
      </w:pPr>
      <w:r>
        <w:rPr>
          <w:rFonts w:cs="Comic Sans MS" w:ascii="Comic Sans MS" w:hAnsi="Comic Sans MS"/>
          <w:sz w:val="30"/>
          <w:szCs w:val="30"/>
        </w:rPr>
        <w:t>- беседи</w:t>
      </w:r>
    </w:p>
    <w:p>
      <w:pPr>
        <w:pStyle w:val="TextBody"/>
        <w:rPr>
          <w:rFonts w:ascii="Comic Sans MS" w:hAnsi="Comic Sans MS" w:cs="Comic Sans MS"/>
          <w:sz w:val="30"/>
          <w:szCs w:val="30"/>
        </w:rPr>
      </w:pPr>
      <w:r>
        <w:rPr>
          <w:rFonts w:cs="Comic Sans MS" w:ascii="Comic Sans MS" w:hAnsi="Comic Sans MS"/>
          <w:sz w:val="30"/>
          <w:szCs w:val="30"/>
        </w:rPr>
        <w:t>- интервю</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jc w:val="center"/>
        <w:rPr>
          <w:rFonts w:ascii="Comic Sans MS" w:hAnsi="Comic Sans MS" w:cs="Comic Sans MS"/>
          <w:szCs w:val="36"/>
        </w:rPr>
      </w:pPr>
      <w:r>
        <w:rPr>
          <w:rFonts w:cs="Comic Sans MS" w:ascii="Comic Sans MS" w:hAnsi="Comic Sans MS"/>
          <w:szCs w:val="36"/>
        </w:rPr>
        <w:t>6. Анализ на предполагаемите резултати.</w:t>
      </w:r>
    </w:p>
    <w:p>
      <w:pPr>
        <w:pStyle w:val="TextBody"/>
        <w:rPr>
          <w:rFonts w:ascii="Comic Sans MS" w:hAnsi="Comic Sans MS" w:cs="Comic Sans MS"/>
          <w:szCs w:val="36"/>
        </w:rPr>
      </w:pPr>
      <w:r>
        <w:rPr>
          <w:rFonts w:cs="Comic Sans MS" w:ascii="Comic Sans MS" w:hAnsi="Comic Sans MS"/>
          <w:szCs w:val="36"/>
        </w:rPr>
      </w:r>
    </w:p>
    <w:p>
      <w:pPr>
        <w:pStyle w:val="TextBody"/>
        <w:numPr>
          <w:ilvl w:val="0"/>
          <w:numId w:val="2"/>
        </w:numPr>
        <w:rPr>
          <w:rFonts w:ascii="Comic Sans MS" w:hAnsi="Comic Sans MS" w:cs="Comic Sans MS"/>
          <w:szCs w:val="36"/>
        </w:rPr>
      </w:pPr>
      <w:r>
        <w:rPr>
          <w:rFonts w:cs="Comic Sans MS" w:ascii="Comic Sans MS" w:hAnsi="Comic Sans MS"/>
          <w:szCs w:val="36"/>
        </w:rPr>
        <w:t>Особено важна е ролята на емоциите при мотивацията за учене</w:t>
      </w:r>
    </w:p>
    <w:p>
      <w:pPr>
        <w:pStyle w:val="TextBody"/>
        <w:rPr/>
      </w:pPr>
      <w:r>
        <w:rPr>
          <w:rFonts w:eastAsia="Comic Sans MS" w:cs="Comic Sans MS" w:ascii="Comic Sans MS" w:hAnsi="Comic Sans MS"/>
          <w:sz w:val="30"/>
          <w:szCs w:val="30"/>
        </w:rPr>
        <w:t xml:space="preserve">           </w:t>
      </w:r>
      <w:r>
        <w:rPr>
          <w:rFonts w:cs="Comic Sans MS" w:ascii="Comic Sans MS" w:hAnsi="Comic Sans MS"/>
          <w:sz w:val="30"/>
          <w:szCs w:val="30"/>
        </w:rPr>
        <w:t>Образователната практика показва, че емоциите, свързани с преживяването на успех/неуспех, се актуализират в случаите, когато се изисква решаването на задача, чиито условия се възприемат като близки на подобни такива, но решени преди това. Провокирането на подобни емоции помага за                                                     формирането на адекватни предвиждания относно крайните резултати и води до повишаване на качеството на учебния процес. Едно от централните допускания при изследването на мотивационната регулация на учебната дейност е свързано с това, че индивидите не отговарят непосредствено на външните събития или физическите условия като напр. Глада, а реагират по-скоро на начина, по който тълкуват събитията и предвиждат последствията от тях. Повишаването на равнището на вътрешната мотивация е пряко свързано с крайните резултати. Съществуват два източника за позитивна оценка на получаваните в процеса на обучение резултати – външни и вътрешни. Външните източници не са пряко свързани с операциите, които индивидите изпълняват при решаването на учебните задачи. Това е така, защото тези операции не са обвързани с получаваните резултати, но са във връзка със социалната оценка  на другите по отношение на крайния продукт. Обратно, вътрешните източници на мотивацията за учене са пряко свързани с крайните резултати и не зависят от оценката на другите. Едуард Деси определя вътрешната мотивация в термините на вродените потребности на човека да бъде компетентен и самоопределящ се. Тези потребности лежат в основата на широко разнообразие от поведения, включително и при изследването на средата, играта, ученето и др. Следователно, когнитивното съдържание и функционирането на психиката на отделния индивид влияе върху проявите и регулацията на поведението му в процеса на обучение.</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rPr>
          <w:rFonts w:ascii="Comic Sans MS" w:hAnsi="Comic Sans MS" w:cs="Comic Sans MS"/>
          <w:sz w:val="30"/>
          <w:szCs w:val="30"/>
        </w:rPr>
      </w:pPr>
      <w:r>
        <w:rPr>
          <w:rFonts w:cs="Comic Sans MS" w:ascii="Comic Sans MS" w:hAnsi="Comic Sans MS"/>
          <w:sz w:val="30"/>
          <w:szCs w:val="30"/>
        </w:rPr>
      </w:r>
    </w:p>
    <w:p>
      <w:pPr>
        <w:pStyle w:val="TextBody"/>
        <w:jc w:val="center"/>
        <w:rPr>
          <w:rFonts w:ascii="Comic Sans MS" w:hAnsi="Comic Sans MS" w:cs="Comic Sans MS"/>
          <w:szCs w:val="36"/>
        </w:rPr>
      </w:pPr>
      <w:r>
        <w:rPr>
          <w:rFonts w:cs="Comic Sans MS" w:ascii="Comic Sans MS" w:hAnsi="Comic Sans MS"/>
          <w:szCs w:val="36"/>
        </w:rPr>
        <w:t>7. Изводи</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rPr>
          <w:rFonts w:ascii="Comic Sans MS" w:hAnsi="Comic Sans MS" w:cs="Comic Sans MS"/>
          <w:sz w:val="30"/>
          <w:szCs w:val="30"/>
        </w:rPr>
      </w:pPr>
      <w:r>
        <w:rPr>
          <w:rFonts w:cs="Comic Sans MS" w:ascii="Comic Sans MS" w:hAnsi="Comic Sans MS"/>
          <w:sz w:val="30"/>
          <w:szCs w:val="30"/>
        </w:rPr>
        <w:t>От практиката и опита на работещите в ДДЛРГ можем да направим извода, че децата настанени там изискват повече внимание и подкрепа при самоподготовката за училище. Освен това с тях трябва да се работи в насока постигане на вътрешно спокойствие с цел повишаване на мотивацията им за учене.</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rPr>
          <w:rFonts w:ascii="Comic Sans MS" w:hAnsi="Comic Sans MS" w:cs="Comic Sans MS"/>
          <w:szCs w:val="36"/>
        </w:rPr>
      </w:pPr>
      <w:r>
        <w:rPr>
          <w:rFonts w:cs="Comic Sans MS" w:ascii="Comic Sans MS" w:hAnsi="Comic Sans MS"/>
          <w:szCs w:val="36"/>
        </w:rPr>
        <w:t>8. Перспективи за понататъшно изследване</w:t>
      </w:r>
    </w:p>
    <w:p>
      <w:pPr>
        <w:pStyle w:val="TextBody"/>
        <w:rPr>
          <w:rFonts w:ascii="Comic Sans MS" w:hAnsi="Comic Sans MS" w:cs="Comic Sans MS"/>
          <w:sz w:val="30"/>
          <w:szCs w:val="30"/>
        </w:rPr>
      </w:pPr>
      <w:r>
        <w:rPr>
          <w:rFonts w:cs="Comic Sans MS" w:ascii="Comic Sans MS" w:hAnsi="Comic Sans MS"/>
          <w:sz w:val="30"/>
          <w:szCs w:val="30"/>
        </w:rPr>
      </w:r>
    </w:p>
    <w:p>
      <w:pPr>
        <w:pStyle w:val="TextBody"/>
        <w:rPr>
          <w:rFonts w:ascii="Comic Sans MS" w:hAnsi="Comic Sans MS" w:cs="Comic Sans MS"/>
          <w:sz w:val="30"/>
          <w:szCs w:val="30"/>
        </w:rPr>
      </w:pPr>
      <w:r>
        <w:rPr>
          <w:rFonts w:cs="Comic Sans MS" w:ascii="Comic Sans MS" w:hAnsi="Comic Sans MS"/>
          <w:sz w:val="30"/>
          <w:szCs w:val="30"/>
        </w:rPr>
        <w:t>След като се завърши изследването на мотивацията за учене на децата от ДДЛРГ и причините за нея и след постигане на целта на настоящото изследване може да се наблегне върху задържане на постоянни резултати.</w:t>
      </w:r>
    </w:p>
    <w:p>
      <w:pPr>
        <w:pStyle w:val="TextBody"/>
        <w:rPr>
          <w:rFonts w:ascii="Comic Sans MS" w:hAnsi="Comic Sans MS" w:cs="Comic Sans MS"/>
          <w:sz w:val="30"/>
          <w:szCs w:val="30"/>
        </w:rPr>
      </w:pPr>
      <w:r>
        <w:rPr>
          <w:rFonts w:cs="Comic Sans MS" w:ascii="Comic Sans MS" w:hAnsi="Comic Sans MS"/>
          <w:sz w:val="30"/>
          <w:szCs w:val="30"/>
        </w:rPr>
        <w:t>Перспектива за понататъшно изслеване би била изследване на трудностите в процеса на мотивацията за учене, позитивното им тълкуване и начините за справяне с тях.</w:t>
      </w:r>
    </w:p>
    <w:sectPr>
      <w:footerReference w:type="default" r:id="rId2"/>
      <w:type w:val="nextPage"/>
      <w:pgSz w:w="12240" w:h="15840"/>
      <w:pgMar w:left="1797" w:right="1797" w:header="0"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mic Sans MS">
    <w:charset w:val="cc"/>
    <w:family w:val="script"/>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left="0" w:right="360" w:hanging="0"/>
      <w:rPr/>
    </w:pPr>
    <w:r>
      <w:rPr/>
    </w:r>
    <w:r>
      <mc:AlternateContent>
        <mc:Choice Requires="wps">
          <w:drawing>
            <wp:anchor behindDoc="0" distT="0" distB="0" distL="0" distR="0" simplePos="0" locked="0" layoutInCell="0" allowOverlap="1" relativeHeight="11">
              <wp:simplePos x="0" y="0"/>
              <wp:positionH relativeFrom="rightMargin">
                <wp:posOffset>0</wp:posOffset>
              </wp:positionH>
              <wp:positionV relativeFrom="paragraph">
                <wp:posOffset>635</wp:posOffset>
              </wp:positionV>
              <wp:extent cx="127000" cy="146050"/>
              <wp:effectExtent l="0" t="0" r="0" b="0"/>
              <wp:wrapSquare wrapText="largest"/>
              <wp:docPr id="1" name="Frame1"/>
              <a:graphic xmlns:a="http://schemas.openxmlformats.org/drawingml/2006/main">
                <a:graphicData uri="http://schemas.microsoft.com/office/word/2010/wordprocessingShape">
                  <wps:wsp>
                    <wps:cNvSpPr txBox="1"/>
                    <wps:spPr>
                      <a:xfrm>
                        <a:off x="0" y="0"/>
                        <a:ext cx="127000" cy="146050"/>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10</w:t>
                          </w:r>
                          <w:r>
                            <w:rPr>
                              <w:rStyle w:val="PageNumber"/>
                            </w:rPr>
                            <w:fldChar w:fldCharType="end"/>
                          </w:r>
                        </w:p>
                      </w:txbxContent>
                    </wps:txbx>
                    <wps:bodyPr anchor="t" lIns="635" tIns="635" rIns="635" bIns="635">
                      <a:noAutofit/>
                    </wps:bodyPr>
                  </wps:wsp>
                </a:graphicData>
              </a:graphic>
            </wp:anchor>
          </w:drawing>
        </mc:Choice>
        <mc:Fallback>
          <w:pict>
            <v:rect fillcolor="#FFFFFF" style="position:absolute;rotation:0;width:10pt;height:11.5pt;mso-wrap-distance-left:0pt;mso-wrap-distance-right:0pt;mso-wrap-distance-top:0pt;mso-wrap-distance-bottom:0pt;margin-top:0.05pt;mso-position-vertical-relative:text;margin-left:0pt;mso-position-horizontal-relative:text">
              <v:fill opacity="0f"/>
              <v:textbox inset="0.000694444444444444in,0.000694444444444444in,0.000694444444444444in,0.000694444444444444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10</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left"/>
      <w:pPr>
        <w:tabs>
          <w:tab w:val="num" w:pos="750"/>
        </w:tabs>
        <w:ind w:left="750" w:hanging="390"/>
      </w:pPr>
      <w:rPr>
        <w:rFonts w:ascii="Comic Sans MS" w:hAnsi="Comic Sans MS" w:cs="Comic Sans MS" w:hint="default"/>
      </w:rPr>
    </w:lvl>
  </w:abstractNum>
  <w:abstractNum w:abstractNumId="2">
    <w:lvl w:ilvl="0">
      <w:start w:val="3"/>
      <w:numFmt w:val="bullet"/>
      <w:lvlText w:val="-"/>
      <w:lvlJc w:val="left"/>
      <w:pPr>
        <w:tabs>
          <w:tab w:val="num" w:pos="750"/>
        </w:tabs>
        <w:ind w:left="750" w:hanging="390"/>
      </w:pPr>
      <w:rPr>
        <w:rFonts w:ascii="Comic Sans MS" w:hAnsi="Comic Sans MS" w:cs="Comic Sans M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0"/>
      <w:szCs w:val="20"/>
      <w:lang w:val="en-US" w:eastAsia="zh-CN" w:bidi="ar-SA"/>
    </w:rPr>
  </w:style>
  <w:style w:type="character" w:styleId="WW8Num1z0">
    <w:name w:val="WW8Num1z0"/>
    <w:qFormat/>
    <w:rPr>
      <w:rFonts w:ascii="Comic Sans MS" w:hAnsi="Comic Sans MS" w:cs="Times New Roman"/>
      <w:sz w:val="30"/>
      <w:szCs w:val="30"/>
    </w:rPr>
  </w:style>
  <w:style w:type="character" w:styleId="WW8Num2z0">
    <w:name w:val="WW8Num2z0"/>
    <w:qFormat/>
    <w:rPr>
      <w:rFonts w:ascii="Comic Sans MS" w:hAnsi="Comic Sans MS" w:cs="Times New Roman"/>
      <w:szCs w:val="36"/>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4z0">
    <w:name w:val="WW8Num4z0"/>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Comic Sans MS" w:hAnsi="Comic Sans MS"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Comic Sans MS" w:hAnsi="Comic Sans MS" w:eastAsia="Times New Roman" w:cs="Times New Roman"/>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mic Sans MS" w:hAnsi="Comic Sans MS" w:eastAsia="Times New Roman" w:cs="Times New Roman"/>
      <w:sz w:val="30"/>
      <w:szCs w:val="30"/>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Comic Sans MS" w:hAnsi="Comic Sans MS" w:eastAsia="Times New Roman" w:cs="Times New Roman"/>
      <w:szCs w:val="36"/>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Comic Sans MS" w:hAnsi="Comic Sans MS" w:eastAsia="Times New Roman" w:cs="Times New Roman"/>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z w:val="44"/>
    </w:rPr>
  </w:style>
  <w:style w:type="character" w:styleId="WW8Num12z0">
    <w:name w:val="WW8Num12z0"/>
    <w:qFormat/>
    <w:rPr>
      <w:rFonts w:ascii="Comic Sans MS" w:hAnsi="Comic Sans MS" w:eastAsia="Times New Roman"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rFonts w:ascii="Comic Sans MS" w:hAnsi="Comic Sans MS" w:eastAsia="Times New Roman" w:cs="Times New Roman"/>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Style14">
    <w:name w:val="Шрифт на абзаца по подразбиране"/>
    <w:qFormat/>
    <w:rPr/>
  </w:style>
  <w:style w:type="character" w:styleId="PageNumber">
    <w:name w:val="Page Number"/>
    <w:basedOn w:val="Style14"/>
    <w:rPr/>
  </w:style>
  <w:style w:type="paragraph" w:styleId="Heading">
    <w:name w:val="Heading"/>
    <w:basedOn w:val="Normal"/>
    <w:next w:val="TextBody"/>
    <w:qFormat/>
    <w:pPr>
      <w:keepNext w:val="true"/>
      <w:spacing w:before="240" w:after="120"/>
    </w:pPr>
    <w:rPr>
      <w:rFonts w:ascii="Liberation Sans;Arial" w:hAnsi="Liberation Sans;Arial" w:eastAsia="Droid Sans Fallback" w:cs="Droid Sans Devanagari"/>
      <w:sz w:val="28"/>
      <w:szCs w:val="28"/>
    </w:rPr>
  </w:style>
  <w:style w:type="paragraph" w:styleId="TextBody">
    <w:name w:val="Body Text"/>
    <w:basedOn w:val="Normal"/>
    <w:pPr>
      <w:jc w:val="both"/>
    </w:pPr>
    <w:rPr>
      <w:sz w:val="36"/>
      <w:lang w:val="bg-BG"/>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2">
    <w:name w:val="Основен текст 2"/>
    <w:basedOn w:val="Normal"/>
    <w:qFormat/>
    <w:pPr/>
    <w:rPr>
      <w:sz w:val="36"/>
      <w:lang w:val="bg-BG"/>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Footer">
    <w:name w:val="Footer"/>
    <w:basedOn w:val="Normal"/>
    <w:pPr>
      <w:tabs>
        <w:tab w:val="clear" w:pos="720"/>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763</TotalTime>
  <Application>LibreOffice/7.0.4.2$Linux_X86_64 LibreOffice_project/00$Build-2</Application>
  <AppVersion>15.0000</AppVersion>
  <Pages>10</Pages>
  <Words>1690</Words>
  <Characters>9916</Characters>
  <CharactersWithSpaces>11755</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2004-02-15T16:53:00Z</dcterms:created>
  <dc:creator>Nasi</dc:creator>
  <dc:description/>
  <dc:language>en-US</dc:language>
  <cp:lastModifiedBy>.</cp:lastModifiedBy>
  <dcterms:modified xsi:type="dcterms:W3CDTF">2008-11-25T12:00:00Z</dcterms:modified>
  <cp:revision>46</cp:revision>
  <dc:subject/>
  <dc:title>1</dc:title>
</cp:coreProperties>
</file>